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‘92 ero al Centro Salesiano di Arese a prestare servizio civile e nel tempo libero ho dato una mano ai gruppi OMG della zona. In occasione del primo campo legna, organizzato dal gruppo di Arese, ho scritto questo  saluto.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Gli anni ‘90 sono anni bellissimi per l’OMG dove, finite le svolte, si gira per i campi e si è sempre tantissimi, 100/150 ragazzi. Nel preparare bene i campi scrivevamo un saluto/canzone a tema, veniva scritto bene su un cartellone bordato con la stoffa, imparato per poi essere insegnato. Il canto era sempre accompagnato da gesti.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Poi non era importante l’autore o il musico, perché era il saluto del gruppo.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gesti di “Ancora oggi” sono stati inventati dai ragazzi nell’ufficio di don Ambrogio al Centro Salesiano.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campo parteciparono in moltissimi!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parte finale del canto tutti dovevano circondare chi veniva salutato, stava nel mezzo, e fare la domanda: “A questa vita che senso gli dai?”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Poi negli anni è “degenerato” nello Skema 2, trasformando la parte finale dei gesti quasi in uno scontro di Rugby… sconsigliato ai cagionevoli di salute!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